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Program de finanţare nerambursabilă pentru anul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1.   Denumirea autorităţii contractante: Centrul Cultural G.M.Zamfirescu Satu Mare, Cod fiscal: 3897270, adresa: Satu Mare, Bld. Transilvaniei nr.3, număr de telefon, fax: 0261-768608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mobil: 0745-616812, 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email: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office@gmz.ro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Aprobarea programului pentru acordarea finanțărilor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nerambursabile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– valabile pentru anul 2022.</w:t>
      </w:r>
    </w:p>
    <w:p w:rsidR="00000000" w:rsidDel="00000000" w:rsidP="00000000" w:rsidRDefault="00000000" w:rsidRPr="00000000" w14:paraId="00000004">
      <w:pPr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2. Autoritatea finanțatoare: Municipiul Satu Mare, Cod fiscal: 4038806, adresa: Satu Mare, P-ţa 25 Octombrie nr.1 acordă, finanțări nerambursabile pentru activități nonprofit de interes general, în conformitate cu prevederile Legii nr. 350/2005 privind regimul finanțărilor din fonduri publice alocate pentru activități nonprofit de interes general, a prezentului Program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și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a Metodologiei. </w:t>
      </w:r>
    </w:p>
    <w:p w:rsidR="00000000" w:rsidDel="00000000" w:rsidP="00000000" w:rsidRDefault="00000000" w:rsidRPr="00000000" w14:paraId="00000005">
      <w:pPr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3. Domeniile de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intervenție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selectate sunt: activități culturale, activități pentru tineret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și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activități destinate programului ,,Sportul pentru toți” .</w:t>
      </w:r>
    </w:p>
    <w:p w:rsidR="00000000" w:rsidDel="00000000" w:rsidP="00000000" w:rsidRDefault="00000000" w:rsidRPr="00000000" w14:paraId="00000006">
      <w:pPr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4. Beneficiari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direcți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: orice persoană juridică fără scop patrimonial – asociație, fundație- care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desfășoară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activități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nonprofit recunoscute conform legii, care dorește sa sprijine realizeaza unor obiective de interes public general, regional sau local , are dreptul de a participa (în condițiile Legii 350/2005) la procedura pentru atribuirea contractului de finanțare nerambursabilă. </w:t>
      </w:r>
    </w:p>
    <w:p w:rsidR="00000000" w:rsidDel="00000000" w:rsidP="00000000" w:rsidRDefault="00000000" w:rsidRPr="00000000" w14:paraId="00000007">
      <w:pPr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5. Bugetul programului: suma totală alocată pentru Program în anul 2022 este de </w:t>
      </w: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650.000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lei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, defalcată astfel:</w:t>
      </w:r>
    </w:p>
    <w:p w:rsidR="00000000" w:rsidDel="00000000" w:rsidP="00000000" w:rsidRDefault="00000000" w:rsidRPr="00000000" w14:paraId="00000008">
      <w:pPr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Activități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culturale – 300.000 lei</w:t>
      </w:r>
    </w:p>
    <w:p w:rsidR="00000000" w:rsidDel="00000000" w:rsidP="00000000" w:rsidRDefault="00000000" w:rsidRPr="00000000" w14:paraId="00000009">
      <w:pPr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Activități pentru tineret – 50.000 lei</w:t>
      </w:r>
    </w:p>
    <w:p w:rsidR="00000000" w:rsidDel="00000000" w:rsidP="00000000" w:rsidRDefault="00000000" w:rsidRPr="00000000" w14:paraId="0000000A">
      <w:pPr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Activități aferente programului ,,Sportul pentru toți” – 300.000 lei</w:t>
      </w:r>
    </w:p>
    <w:p w:rsidR="00000000" w:rsidDel="00000000" w:rsidP="00000000" w:rsidRDefault="00000000" w:rsidRPr="00000000" w14:paraId="0000000B">
      <w:pPr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6. Procedura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aplicată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: finanțarea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nerambursabilă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acordată din fonduri publice unui beneficiar se va face pe baza unui contract de finanțare nerambursabila încheiat între Centrul Cultural G.M. Zamfirescu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și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beneficiar, în urma aplicării procedurii selecției publice de proiecte, conform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Metodologiei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aprobate prin Hotarare de Consiliul Local.</w:t>
      </w:r>
    </w:p>
    <w:p w:rsidR="00000000" w:rsidDel="00000000" w:rsidP="00000000" w:rsidRDefault="00000000" w:rsidRPr="00000000" w14:paraId="0000000C">
      <w:pPr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În cazul în care sumele alocate nu vor fi consumate, se vor organiza alte sesiuni până la consumarea integral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ă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a fondurilor.</w:t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ar-SA" w:val="ro-RO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sukvDdcCsPPcoEQ+cNYClMDFmg==">AMUW2mUkdOD5nx3HIOlItdI3DuLZIYHt3CsFvBKOKZI3f2hJedgR0GQdj7hpbl1pYCfe+4G8K31VqyEJ00pCJ8RmcHzU6K03rI/GkTdI/8CUVAwBPb7lvZM=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2022-01-31T07:57:00Z</dcterms:created>
  <dc:creator>Covaci Natalia</dc:creator>
</cp:coreProperties>
</file>